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Keys Randall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BIG SKY INDUSTRIAL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1616 S. VOSS, SUITE 725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BIG SKY INDUSTRIAL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BSIN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Former Director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193,913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7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7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1.11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05/08/2026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option was granted on March 4, 2026 and became fully vested and exercisable on May 8, 2026 upon the expiration of the Reporting Person's term as a director. The option remains outstanding and unexercised. No transaction is reported with respect to the option; it is included in Table II solely to reflect the Reporting Person's derivative holdings.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Reporting Person ceased to be subject to Section 16 of the Securities Exchange Act of 1934 upon the expiration of his term as a member of the Board of Directors of the Issuer on May 8, 2026. This Form 4 is being filed voluntarily; no transaction is being reported. The securities reported in Table I and Table II are reported solely to reflect the Reporting Person's holdings as of that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Randall D. Keys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50736" TargetMode="External"/><Relationship Id="rId5" Type="http://schemas.openxmlformats.org/officeDocument/2006/relationships/hyperlink" Target="http://www.sec.gov/cgi-bin/browse-edgar?action=getcompany&amp;CIK=00001015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711</Words>
  <Characters>3773</Characters>
  <CharactersWithSpaces>4411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