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7,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U.S. ENERGY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000-06814</w:t>
            </w:r>
          </w:p>
        </w:tc>
        <w:tc>
          <w:tcPr>
            <w:tcW w:w="3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83-0205516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3"/>
          </w:tcPr>
          <w:p>
            <w:pPr>
              <w:jc w:val="center"/>
              <w:ind w:right="90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File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72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1616 S. Voss, Suite 725, Houston, Texas</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77057</w:t>
            </w:r>
          </w:p>
        </w:tc>
      </w:tr>
      <w:tr>
        <w:trPr>
          <w:trHeight w:val="228"/>
        </w:trPr>
        <w:tc>
          <w:tcPr>
            <w:tcW w:w="472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993-3200</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500"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20" w:type="dxa"/>
            <w:vAlign w:val="bottom"/>
          </w:tcPr>
          <w:p>
            <w:pPr>
              <w:spacing w:after="0"/>
              <w:rPr>
                <w:sz w:val="16"/>
                <w:szCs w:val="16"/>
                <w:color w:val="auto"/>
              </w:rPr>
            </w:pPr>
          </w:p>
        </w:tc>
        <w:tc>
          <w:tcPr>
            <w:tcW w:w="2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USEG</w:t>
            </w:r>
          </w:p>
        </w:tc>
        <w:tc>
          <w:tcPr>
            <w:tcW w:w="240" w:type="dxa"/>
            <w:vAlign w:val="bottom"/>
          </w:tcPr>
          <w:p>
            <w:pPr>
              <w:spacing w:after="0"/>
              <w:rPr>
                <w:sz w:val="16"/>
                <w:szCs w:val="16"/>
                <w:color w:val="auto"/>
              </w:rPr>
            </w:pPr>
          </w:p>
        </w:tc>
        <w:tc>
          <w:tcPr>
            <w:tcW w:w="45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7, 2026, U.S. Energy Corp. (“</w:t>
      </w:r>
      <w:r>
        <w:rPr>
          <w:rFonts w:ascii="Times New Roman" w:cs="Times New Roman" w:eastAsia="Times New Roman" w:hAnsi="Times New Roman"/>
          <w:sz w:val="18"/>
          <w:szCs w:val="18"/>
          <w:u w:val="single" w:color="auto"/>
          <w:color w:val="auto"/>
        </w:rPr>
        <w:t>U.S.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issued a press release regarding its financial results for the three months and nine ended March 31, 2026. A copy of the press release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Form 8-K and incorporated into this item 2.02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contained in this Current Report and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hereto shall not be deemed “</w:t>
      </w:r>
      <w:r>
        <w:rPr>
          <w:rFonts w:ascii="Times New Roman" w:cs="Times New Roman" w:eastAsia="Times New Roman" w:hAnsi="Times New Roman"/>
          <w:sz w:val="18"/>
          <w:szCs w:val="18"/>
          <w:u w:val="single" w:color="auto"/>
          <w:color w:val="auto"/>
        </w:rPr>
        <w:t>filed</w:t>
      </w:r>
      <w:r>
        <w:rPr>
          <w:rFonts w:ascii="Times New Roman" w:cs="Times New Roman" w:eastAsia="Times New Roman" w:hAnsi="Times New Roman"/>
          <w:sz w:val="18"/>
          <w:szCs w:val="18"/>
          <w:color w:val="auto"/>
        </w:rPr>
        <w:t>”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they be deemed incorporated by reference in any filing under the Securities Act of 1933, as amended or the Exchange Act, except as expressly set forth by specific reference in such a filing.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making reference to non-GAAP financial information in the press release, presentation and the conference call. A reconciliation of these non-GAAP financial measures to the comparable GAAP financial measures is contained in the attached press release and presentation.</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This Current Report on Form 8-K, including the press release 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 contains forward-looking statements within the meaning of the federal securities laws, including the Private Securities Litigation Reform Act of 1995, and, as such, may involve known and unknown risks, uncertainties and assumptions. You can identify these forward-looking statements by words such as “</w:t>
      </w:r>
      <w:r>
        <w:rPr>
          <w:rFonts w:ascii="Times New Roman" w:cs="Times New Roman" w:eastAsia="Times New Roman" w:hAnsi="Times New Roman"/>
          <w:sz w:val="18"/>
          <w:szCs w:val="18"/>
          <w:u w:val="single" w:color="auto"/>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other similar expressions. These forward-looking statements relate to the Company’s current expectations and are subject to the limitations and qualifications set forth in the press release and presentation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its divisions and concepts to be materially different than those expressed or implied in such statements, which include, without limitation, risks associated with increased inflation, interest rates and possible recessions; the Company’s ability to comply with the terms of its senior credit facilities; the ability of the Company to retain and hire key personnel; the business, economic and political conditions in the markets in which the Company operates; fluctuations in oil and natural gas prices, uncertainties inherent in estimating quantities of oil and natural gas reserves and projecting future rates of production and timing of development activities; competition; operating risks; drilling, completions, workovers and other activities and the anticipated costs and results of such activities; the Company’s anticipated operational results for 2026 including, but not limited to, estimated or anticipated production levels, capital expenditures and drilling plans; acquisition risks; liquidity and capital requirements; the effects of governmental regulation; anticipated future production and revenue; drilling plans including the timing of drilling, commissioning, and startup and the impact of delays thereon; adverse changes in the market for the Company’s oil and natural gas production; dependence upon third-party vendors; risks associated with COVID-19, the global efforts to stop the spread of COVID-19, potential downturns in the U.S. and global economies due to COVID-19 and the efforts to stop the spread of the virus, and COVID-19 in general; economic uncertainty relating to increased inflation and global conflicts; the lack of capital available on acceptable terms to finance the Company’s continued growth; the review and evaluation of potential strategic transactions and their impact on stockholder value; the process by which the Company engages in evaluation of strategic transactions; the outcome of potential future strategic transactions and the terms thereof; and other risk factors, and others, including those referenced in the press release and the Company’s filings with the Securities and Exchange Commission.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cs="Times New Roman" w:eastAsia="Times New Roman" w:hAnsi="Times New Roman"/>
          <w:sz w:val="18"/>
          <w:szCs w:val="18"/>
          <w:u w:val="single" w:color="auto"/>
          <w:color w:val="auto"/>
        </w:rPr>
        <w:t>Cautionary Statement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Results of Operations</w:t>
      </w:r>
      <w:r>
        <w:rPr>
          <w:rFonts w:ascii="Times New Roman" w:cs="Times New Roman" w:eastAsia="Times New Roman" w:hAnsi="Times New Roman"/>
          <w:sz w:val="18"/>
          <w:szCs w:val="18"/>
          <w:color w:val="auto"/>
        </w:rPr>
        <w:t xml:space="preserve">” sections of the Company’s periodic and current filings with the SEC, including the Form 10-Qs and Form 10-Ks, filed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in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section of the Company’s website at </w:t>
      </w:r>
      <w:r>
        <w:rPr>
          <w:rFonts w:ascii="Times New Roman" w:cs="Times New Roman" w:eastAsia="Times New Roman" w:hAnsi="Times New Roman"/>
          <w:sz w:val="18"/>
          <w:szCs w:val="18"/>
          <w:u w:val="single" w:color="auto"/>
          <w:color w:val="auto"/>
        </w:rPr>
        <w:t>https://usnrg.com</w:t>
      </w:r>
      <w:r>
        <w:rPr>
          <w:rFonts w:ascii="Times New Roman" w:cs="Times New Roman" w:eastAsia="Times New Roman" w:hAnsi="Times New Roman"/>
          <w:sz w:val="18"/>
          <w:szCs w:val="18"/>
          <w:color w:val="auto"/>
        </w:rPr>
        <w:t>.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U.S. Energy Corp., dated May 7, 2026</w:t>
      </w:r>
    </w:p>
    <w:p>
      <w:pPr>
        <w:spacing w:after="0" w:line="27" w:lineRule="exact"/>
        <w:rPr>
          <w:sz w:val="20"/>
          <w:szCs w:val="20"/>
          <w:color w:val="auto"/>
        </w:rPr>
      </w:pPr>
    </w:p>
    <w:p>
      <w:pPr>
        <w:ind w:right="5080" w:firstLine="440"/>
        <w:spacing w:after="0" w:line="489" w:lineRule="auto"/>
        <w:tabs>
          <w:tab w:leader="none" w:pos="124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Current Report on Form 8-K * Furnished herewith.</w:t>
      </w: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inclusion of any website address in this Form 8-K, and any exhibit thereto, is intended to be an inactive textual reference only and not an active hyperlink. The information contained in, or that can be accessed through, such website is not part of or incorporated into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U.S. ENERGY CORP.</w:t>
      </w:r>
    </w:p>
    <w:p>
      <w:pPr>
        <w:spacing w:after="0" w:line="227" w:lineRule="exact"/>
        <w:rPr>
          <w:sz w:val="20"/>
          <w:szCs w:val="20"/>
          <w:color w:val="auto"/>
        </w:rPr>
      </w:pPr>
    </w:p>
    <w:p>
      <w:pPr>
        <w:ind w:left="55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18415</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Ryan Smith</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5520"/>
        <w:spacing w:after="0"/>
        <w:tabs>
          <w:tab w:leader="none" w:pos="6260" w:val="left"/>
        </w:tabs>
        <w:rPr>
          <w:sz w:val="20"/>
          <w:szCs w:val="20"/>
          <w:color w:val="auto"/>
        </w:rPr>
      </w:pPr>
      <w:r>
        <w:rPr>
          <w:rFonts w:ascii="Times New Roman" w:cs="Times New Roman" w:eastAsia="Times New Roman" w:hAnsi="Times New Roman"/>
          <w:sz w:val="18"/>
          <w:szCs w:val="18"/>
          <w:color w:val="auto"/>
        </w:rPr>
        <w:t>Dated:</w:t>
        <w:tab/>
        <w:t>May 7, 2026</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0596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60" w:right="280"/>
        <w:spacing w:after="0" w:line="278" w:lineRule="auto"/>
        <w:rPr>
          <w:sz w:val="20"/>
          <w:szCs w:val="20"/>
          <w:color w:val="auto"/>
        </w:rPr>
      </w:pPr>
      <w:r>
        <w:rPr>
          <w:rFonts w:ascii="Times New Roman" w:cs="Times New Roman" w:eastAsia="Times New Roman" w:hAnsi="Times New Roman"/>
          <w:sz w:val="29"/>
          <w:szCs w:val="29"/>
          <w:b w:val="1"/>
          <w:bCs w:val="1"/>
          <w:color w:val="auto"/>
        </w:rPr>
        <w:t>U.S. Energy Corp. Reports First Quarter 2026 Results and Highlights Transformative Operational and Commercial Progress at Big Sky Carbon Hub</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i w:val="1"/>
          <w:iCs w:val="1"/>
          <w:color w:val="auto"/>
        </w:rPr>
        <w:t>Achieves Final Investment Decision and Executes Fixed-Scope EPC Contract on Phase 1 Processing Facility</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i w:val="1"/>
          <w:iCs w:val="1"/>
          <w:color w:val="auto"/>
        </w:rPr>
        <w:t>Signs Five-Year, 100% Take-or-Pay Helium Offtake Agreement with Investment-Grade Industrial Gas Counterparty</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i w:val="1"/>
          <w:iCs w:val="1"/>
          <w:color w:val="auto"/>
        </w:rPr>
        <w:t>Completes Phase 1 Capital Stack and Suspends Equity Line of Credit</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May 7, 2026 </w:t>
      </w:r>
      <w:r>
        <w:rPr>
          <w:rFonts w:ascii="Times New Roman" w:cs="Times New Roman" w:eastAsia="Times New Roman" w:hAnsi="Times New Roman"/>
          <w:sz w:val="18"/>
          <w:szCs w:val="18"/>
          <w:color w:val="auto"/>
        </w:rPr>
        <w:t>— U.S. Energy Corporation (NASDAQ: USEG) (“U.S. Energy” or the “Company”), an integrated industrial gas,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carbon management company, today reported financial and operating results for the three months ended March 31, 2026, while highlighting significant operational, commercial, and financial milestones achieved during the quarter that materially advance the development of the Company’s Big Sky Carbon Hub, its flagship project in Montana.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quarter of 2026 marked the inflection point in U.S. Energy’s transformation,” said Ryan Smith, President and Chief Executive Officer of U.S. Energy Corp. “In the past 90 days, we reached Final Investment Decision on our Phase 1 processing facility at the Big Sky Carbon Hub, executed a fixed-scope EPC contract with CANUSA, -- an experienced engineering firm with a track record in gas processing and energy infrastructure, -- completed our Phase 1 capital stack, formally suspended our equity line of credit, and signed a five-year, 100% take-or-pay helium offtake agreement with an investment-grade global industrial gas counterparty. Each of these would be a meaningful milestone on its own. Together, they materially advance U.S. Energy’s transition from a legacy E&amp;P company toward an integrated industrial gas, energy, and carbon management platform.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Phase 1 funded, our commercial offtake in place, our regulatory path advancing, and construction underway, we have a clear sequence of catalysts between now and first revenue in the first quarter of 2027. The macro tailwinds behind helium supply, federal CCUS policy, and domestic energy production have rarely been more favorable, and we believe the value we are building will become increasingly visible to the market as these milestones are achieved. We remain focused on executing against this plan and delivering long-term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STRATEGIC AND OPERATIONAL HIGHLIGHTS</w:t>
      </w:r>
    </w:p>
    <w:p>
      <w:pPr>
        <w:spacing w:after="0" w:line="225" w:lineRule="exact"/>
        <w:rPr>
          <w:sz w:val="20"/>
          <w:szCs w:val="20"/>
          <w:color w:val="auto"/>
        </w:rPr>
      </w:pPr>
    </w:p>
    <w:p>
      <w:pPr>
        <w:jc w:val="both"/>
        <w:ind w:left="1040" w:hanging="344"/>
        <w:spacing w:after="0" w:line="220" w:lineRule="exact"/>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Final Investment Decision ("FID") Achieved on Phase 1 Processing Facility. </w:t>
      </w:r>
      <w:r>
        <w:rPr>
          <w:rFonts w:ascii="Times New Roman" w:cs="Times New Roman" w:eastAsia="Times New Roman" w:hAnsi="Times New Roman"/>
          <w:sz w:val="18"/>
          <w:szCs w:val="18"/>
          <w:color w:val="auto"/>
        </w:rPr>
        <w:t>On March 18, 2026, the Company announced FID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1 processing facility at the Big Sky Carbon Hub and executed a fixed-scope engineering, procurement, and construction (“EPC”) agreement with CANUSA EPC. The plant is designed for approximately 8 MMcf/d of inlet capacity, targeting approximately 14 MMcf of high-purity helium and approximately 125,000 metric tons of refined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per year at initial operations, with commercial operations targeted for the first quarter of 2027.</w:t>
      </w:r>
    </w:p>
    <w:p>
      <w:pPr>
        <w:spacing w:after="0" w:line="196" w:lineRule="exact"/>
        <w:rPr>
          <w:rFonts w:ascii="Times New Roman" w:cs="Times New Roman" w:eastAsia="Times New Roman" w:hAnsi="Times New Roman"/>
          <w:sz w:val="18"/>
          <w:szCs w:val="18"/>
          <w:color w:val="auto"/>
        </w:rPr>
      </w:pPr>
    </w:p>
    <w:p>
      <w:pPr>
        <w:jc w:val="both"/>
        <w:ind w:left="1040" w:hanging="317"/>
        <w:spacing w:after="0" w:line="259"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Five-Year, 100% Take-or-Pay Helium Offtake Agreement Executed. </w:t>
      </w:r>
      <w:r>
        <w:rPr>
          <w:rFonts w:ascii="Times New Roman" w:cs="Times New Roman" w:eastAsia="Times New Roman" w:hAnsi="Times New Roman"/>
          <w:sz w:val="18"/>
          <w:szCs w:val="18"/>
          <w:color w:val="auto"/>
        </w:rPr>
        <w:t>On April 27, 2026, the Company executed a five-year helium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an investment-grade global industrial gas company for the sale of contained helium produced at Big Sky. The contract is structured as 100% take-or-pay over a five-year initial term at a fixed plant-gate price of $285 per Mcf, with CPI-linked escalation beginning March 1, 2028, and a year-three pricing redetermination. The agreement establishes contracted, initial helium revenue and supports the commercial viability of the Big Sky development.</w:t>
      </w:r>
    </w:p>
    <w:p>
      <w:pPr>
        <w:spacing w:after="0" w:line="179" w:lineRule="exact"/>
        <w:rPr>
          <w:rFonts w:ascii="Times New Roman" w:cs="Times New Roman" w:eastAsia="Times New Roman" w:hAnsi="Times New Roman"/>
          <w:sz w:val="18"/>
          <w:szCs w:val="18"/>
          <w:color w:val="auto"/>
        </w:rPr>
      </w:pPr>
    </w:p>
    <w:p>
      <w:pPr>
        <w:jc w:val="both"/>
        <w:ind w:left="1040" w:hanging="317"/>
        <w:spacing w:after="0" w:line="259"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 Capital Stack Completed. </w:t>
      </w:r>
      <w:r>
        <w:rPr>
          <w:rFonts w:ascii="Times New Roman" w:cs="Times New Roman" w:eastAsia="Times New Roman" w:hAnsi="Times New Roman"/>
          <w:sz w:val="18"/>
          <w:szCs w:val="18"/>
          <w:color w:val="auto"/>
        </w:rPr>
        <w:t>During the quarter, the Company completed an underwritten equity offering and, on April 20,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its senior secured credit agreement, doubling the borrowing base to $20 million, fixing the interest margin at 200 basis points over the alternate base rate, and suspending quarterly financial covenant testing through the fiscal quarter ending March 31, 2027. The facility matures May 31, 2029, with no prepayment penalties. The Phase 1 capital stack is expected to fund the project through commercial operations.</w:t>
      </w:r>
    </w:p>
    <w:p>
      <w:pPr>
        <w:spacing w:after="0" w:line="179" w:lineRule="exact"/>
        <w:rPr>
          <w:rFonts w:ascii="Times New Roman" w:cs="Times New Roman" w:eastAsia="Times New Roman" w:hAnsi="Times New Roman"/>
          <w:sz w:val="18"/>
          <w:szCs w:val="18"/>
          <w:color w:val="auto"/>
        </w:rPr>
      </w:pPr>
    </w:p>
    <w:p>
      <w:pPr>
        <w:jc w:val="both"/>
        <w:ind w:left="1040" w:hanging="317"/>
        <w:spacing w:after="0" w:line="268"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Line of Credit Suspended. </w:t>
      </w:r>
      <w:r>
        <w:rPr>
          <w:rFonts w:ascii="Times New Roman" w:cs="Times New Roman" w:eastAsia="Times New Roman" w:hAnsi="Times New Roman"/>
          <w:sz w:val="18"/>
          <w:szCs w:val="18"/>
          <w:color w:val="auto"/>
        </w:rPr>
        <w:t>Concurrently with the closing of the expanded debt facility, the Company suspended further use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line of credit, addressing the perceived dilution overhang associated with the facility. The Company has not drawn on the ELOC since March 2, 2026.</w:t>
      </w:r>
    </w:p>
    <w:p>
      <w:pPr>
        <w:spacing w:after="0" w:line="170" w:lineRule="exact"/>
        <w:rPr>
          <w:rFonts w:ascii="Times New Roman" w:cs="Times New Roman" w:eastAsia="Times New Roman" w:hAnsi="Times New Roman"/>
          <w:sz w:val="18"/>
          <w:szCs w:val="18"/>
          <w:color w:val="auto"/>
        </w:rPr>
      </w:pPr>
    </w:p>
    <w:p>
      <w:pPr>
        <w:jc w:val="both"/>
        <w:ind w:left="1040" w:hanging="317"/>
        <w:spacing w:after="0" w:line="26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MRV Applications Advancing in Active EPA Review. </w:t>
      </w:r>
      <w:r>
        <w:rPr>
          <w:rFonts w:ascii="Times New Roman" w:cs="Times New Roman" w:eastAsia="Times New Roman" w:hAnsi="Times New Roman"/>
          <w:sz w:val="18"/>
          <w:szCs w:val="18"/>
          <w:color w:val="auto"/>
        </w:rPr>
        <w:t>Both Monitoring, Reporting, and Verification (“MRV”) submissions — Big Rose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Cut Bank — are in active EPA review, with the Company continuing to expect approvals during the summer of 2026. These approvals are required to access the Section 45Q tax credit framework, which represents approximately $130 million of credit value over the first 12 years of Phase 1 operations alone.</w:t>
      </w:r>
    </w:p>
    <w:p>
      <w:pPr>
        <w:spacing w:after="0" w:line="176" w:lineRule="exact"/>
        <w:rPr>
          <w:rFonts w:ascii="Times New Roman" w:cs="Times New Roman" w:eastAsia="Times New Roman" w:hAnsi="Times New Roman"/>
          <w:sz w:val="18"/>
          <w:szCs w:val="18"/>
          <w:color w:val="auto"/>
        </w:rPr>
      </w:pPr>
    </w:p>
    <w:p>
      <w:pPr>
        <w:jc w:val="both"/>
        <w:ind w:left="1040" w:hanging="317"/>
        <w:spacing w:after="0" w:line="268"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Field Development on Schedule. </w:t>
      </w:r>
      <w:r>
        <w:rPr>
          <w:rFonts w:ascii="Times New Roman" w:cs="Times New Roman" w:eastAsia="Times New Roman" w:hAnsi="Times New Roman"/>
          <w:sz w:val="18"/>
          <w:szCs w:val="18"/>
          <w:color w:val="auto"/>
        </w:rPr>
        <w:t>Drilling and completions were completed in August 2025 with three successfully drilled wells, plus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wells. Two Class II permitted injection wells are operational. Gathering infrastructure installation is scheduled for summer 2026, with facility commissioning targeted for late 2026 and first gas in Q1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AND LIQUIDITY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2026, U.S. Energy had a cash balance of $10.4 million and total available liquidity of $27.9 million, including $17.5 million of undrawn capacity under the Company’s recently amended senior secured credit facility. With the Phase 1 capital stack now complete and the equity line of credit suspended, the Company believes it has sufficient liquidity to advance Phase 1 to commercial operations in Q1 2027 without anticipated reliance on the public equity markets, while maintaining the flexibility to pursue additional value-enhancing opportunities as they arise.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00" w:type="dxa"/>
            <w:vAlign w:val="bottom"/>
          </w:tcPr>
          <w:p>
            <w:pPr>
              <w:spacing w:after="0"/>
              <w:rPr>
                <w:sz w:val="18"/>
                <w:szCs w:val="18"/>
                <w:color w:val="auto"/>
              </w:rPr>
            </w:pPr>
          </w:p>
        </w:tc>
      </w:tr>
      <w:tr>
        <w:trPr>
          <w:trHeight w:val="189"/>
        </w:trPr>
        <w:tc>
          <w:tcPr>
            <w:tcW w:w="18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and debt balance:</w:t>
            </w:r>
          </w:p>
        </w:tc>
        <w:tc>
          <w:tcPr>
            <w:tcW w:w="244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debt outstanding</w:t>
            </w:r>
          </w:p>
        </w:tc>
        <w:tc>
          <w:tcPr>
            <w:tcW w:w="26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balance</w:t>
            </w:r>
          </w:p>
        </w:tc>
        <w:tc>
          <w:tcPr>
            <w:tcW w:w="264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10,360</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debt balance</w:t>
            </w:r>
          </w:p>
        </w:tc>
        <w:tc>
          <w:tcPr>
            <w:tcW w:w="26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(7,860)</w:t>
            </w:r>
          </w:p>
        </w:tc>
      </w:tr>
      <w:tr>
        <w:trPr>
          <w:trHeight w:val="216"/>
        </w:trPr>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42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Liquidity:</w:t>
            </w: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balance</w:t>
            </w:r>
          </w:p>
        </w:tc>
        <w:tc>
          <w:tcPr>
            <w:tcW w:w="264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10,360</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Credit facility availability</w:t>
            </w:r>
          </w:p>
        </w:tc>
        <w:tc>
          <w:tcPr>
            <w:tcW w:w="26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w:t>
            </w:r>
          </w:p>
        </w:tc>
      </w:tr>
      <w:tr>
        <w:trPr>
          <w:trHeight w:val="20"/>
        </w:trPr>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Liquidity</w:t>
            </w:r>
          </w:p>
        </w:tc>
        <w:tc>
          <w:tcPr>
            <w:tcW w:w="264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27,860</w:t>
            </w: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*Represents liquidity profile as of April 30, 2026, which includes the completion of the Company’s recently amended credit facility on April 20,2026.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First quarter 2026 production was 34,290 barrels of oil equivalent (“BOE”) (68% oil), compared to 47,008 BOE the first quarter of 2025. For the first quarter 2026 revenue totaled $1.6 million (84% oil), compared to first quarter of 2025 revenue of $2.2 million. First quarter 2026 realized average sales prices of $63.00/bbl and $3.05/mcf for oil and natural gas, respectively, resulting in an average realized price of $46.78/BOE as compared to first quarter 2025 which averaged $59.01/bbl, $4.14/mcf for oil and natural gas, respectively, resulting in an average realized price of $46.65/BOE. The sequential decline in production and revenue was primarily driven by Company’s strategic divestitures, representing the final significant step in the Company’s legacy asset optimization program. The divestitures, combined with natural production declines, accounted for substantially all of the quarter-over-quarter variance. As previously communicated, this monetization program funded the Company’s pivot to its industrial gas, energy, and carbon management platform and is now substantially complete.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quarter 2026 lease operating expense totaled $0.9 million, compared to $1.6 million for the first quarter 2025. Cash general and administrative expense totaled $2.6 million for the first quarter 2026 compared to $1.9 million for the first quarter 2025. The year-over-year increase reflects elevated professional fees and compensation expense associated with the Company’s strategic transformation, including legal, technical, and advisory work supporting FID, the EPC contract negotiation, the helium offtake agreement, and the amended credit facility. These costs are expected to normalize as Phase 1 transitions from development to construction execution. Equity compensation expense totaled $0.4 million for both the first quarter of 2026 and the first quarter of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Energy reported a net loss of $3.2 million, or $(0.08) per diluted share during the first quarter 2026. Adjusted EBITDA was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Energy will host a conference call to discuss its first quarter 2026 financial and operating results on May 7, 2026 at 9:00 a.m. Eastern Time/8:00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Time. A replay of the call will be available on the Investor Relations section of the Company’s website at www.usnrg.com following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Thursday, May 7,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9:00 a.m.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Toll-free dial-in number: </w:t>
      </w:r>
      <w:r>
        <w:rPr>
          <w:rFonts w:ascii="Times New Roman" w:cs="Times New Roman" w:eastAsia="Times New Roman" w:hAnsi="Times New Roman"/>
          <w:sz w:val="18"/>
          <w:szCs w:val="18"/>
          <w:color w:val="auto"/>
        </w:rPr>
        <w:t>800-717-1738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dial-in number: </w:t>
      </w:r>
      <w:r>
        <w:rPr>
          <w:rFonts w:ascii="Times New Roman" w:cs="Times New Roman" w:eastAsia="Times New Roman" w:hAnsi="Times New Roman"/>
          <w:sz w:val="18"/>
          <w:szCs w:val="18"/>
          <w:color w:val="auto"/>
        </w:rPr>
        <w:t>646-307-1865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Conference Registration: </w:t>
      </w:r>
      <w:r>
        <w:rPr>
          <w:rFonts w:ascii="Times New Roman" w:cs="Times New Roman" w:eastAsia="Times New Roman" w:hAnsi="Times New Roman"/>
          <w:sz w:val="18"/>
          <w:szCs w:val="18"/>
          <w:color w:val="auto"/>
        </w:rPr>
        <w:t>https://emportal.ink/48V1WTB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Registration: </w:t>
      </w:r>
      <w:r>
        <w:rPr>
          <w:rFonts w:ascii="Times New Roman" w:cs="Times New Roman" w:eastAsia="Times New Roman" w:hAnsi="Times New Roman"/>
          <w:sz w:val="18"/>
          <w:szCs w:val="18"/>
          <w:color w:val="auto"/>
        </w:rPr>
        <w:t>https://viavid.webcasts.com/starthere.jsp?ei=1761172&amp;tp_key=90a797c36e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 ENERGY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Energy Corp. (NASDAQ: USEG) is building an integrated energy and carbon management platform. The Company owns and operates the Big Sky Carbon Hub and Cut Bank oil field in Montana, generating three independent revenue streams — helium, carbon management, and oil — from a fully owned and operated asset base. U.S. Energy is positioned at the intersection of critical supply, domestic energy production, and federal energy policy. More information can be found at www.usnrg.com.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Mason McGuire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IR@usnrg.com</w:t>
      </w:r>
    </w:p>
    <w:p>
      <w:pPr>
        <w:spacing w:after="0" w:line="27" w:lineRule="exact"/>
        <w:rPr>
          <w:sz w:val="20"/>
          <w:szCs w:val="20"/>
          <w:color w:val="auto"/>
        </w:rPr>
      </w:pPr>
    </w:p>
    <w:p>
      <w:pPr>
        <w:jc w:val="right"/>
        <w:ind w:right="1006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993-3200 </w:t>
      </w:r>
      <w:r>
        <w:rPr>
          <w:rFonts w:ascii="Times New Roman" w:cs="Times New Roman" w:eastAsia="Times New Roman" w:hAnsi="Times New Roman"/>
          <w:sz w:val="17"/>
          <w:szCs w:val="17"/>
          <w:u w:val="single" w:color="auto"/>
          <w:color w:val="auto"/>
        </w:rPr>
        <w:t>www.usnrg.com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09728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29146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matters discussed in this communication which are not statements of historical fact constitute forward-looking statements within the meaning of the federal securities laws, including the Private Securities Litigation Reform Act of 1995, that involve a number of risks and uncertainties. Words such as “strategy,” “expects,” “continues,” “plans,” “anticipates,” “believes,” “would,” “will,” “estimates,” “intends,” “projects,” “goals,” “targets” and other words of similar meaning are intended to identify forward-looking statements but are not the exclusive means of identifying these statements.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Important factors that may cause actual results and outcomes to differ materially from those contained in such forward-looking statements include, without limitation: (1) the size, timing and completion of the offering, as well as the expected use of proceeds related thereto; (2) the ability of the Company to grow and manage growth profitably and retain its key employees; (3) risks associated with the integration of recently acquired assets; (4) the Company’s ability to comply with the terms of its senior credit facilities; (5) the ability of the Company to retain and hire key personnel; (6) the business, economic and political conditions in the markets in which the Company operates; (7) the volatility of oil and natural gas prices; (8) the Company’s success in discovering, estimating, developing and replacing oil, natural gas and helium reserves; (9) risks of the Company’s operations not being profitable or generating sufficient cash flow to meet its obligations; (10) risks relating to the future price of oil, natural gas, NGLs and helium; (11) risks related to the status and availability of oil, natural gas and helium gathering, transportation, and storage facilities; (12) risks related to changes in the legal and regulatory environment governing the oil, gas and helium industry, and new or amended environmental legislation and regulatory initiatives; (13) risks relating to crude oil production quotas or other actions that might be imposed by the Organization of Petroleum Exporting Countries and other producing countries;</w:t>
      </w:r>
    </w:p>
    <w:p>
      <w:pPr>
        <w:spacing w:after="0" w:line="5" w:lineRule="exact"/>
        <w:rPr>
          <w:sz w:val="20"/>
          <w:szCs w:val="20"/>
          <w:color w:val="auto"/>
        </w:rPr>
      </w:pPr>
    </w:p>
    <w:p>
      <w:pPr>
        <w:jc w:val="both"/>
        <w:ind w:firstLine="8"/>
        <w:spacing w:after="0" w:line="250" w:lineRule="auto"/>
        <w:tabs>
          <w:tab w:leader="none" w:pos="3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(15) changing economic, regulatory and political environments in the markets in which the Company operates; (16) general domestic and international economic, market and political conditions, including the military conflict between Russia and Ukraine and the global response to such conflict; (17) actions of competitors or regulators; (18) the potential disruption or interruption of the Company’s operations due to war, accidents, political events, severe weather, cyber threats, terrorist acts, or other natural or human causes beyond the Company’s control; (19) pandemics, governmental responses thereto, economic downturns and possible recessions caused thereby; (20) inflationary risks and recent changes in inflation and interest rates, and the risks of recessions and economic downturns caused thereby or by efforts to reduce inflation; (21) risks related to military conflicts in oil producing countries; (22) changes in economic conditions; limitations in the availability of, and costs of, supplies, materials, contractors and services that may delay the drilling or completion of wells or make such wells more expensive; (23) the amount and timing of future development costs; (24) the availability and demand for alternative energy sources; (25) regulatory changes, including those related to carbon dioxide and greenhouse gas emissions;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uncertainties inherent in estimating quantities of oil, natural gas and helium reserves and projecting future rates of production and timing of development activities; (27) risks relating to the lack of capital available on acceptable terms to finance the Company’s continued growth, potential future sales of debt or equity and dilution caused thereby; (28) the review and evaluation of potential strategic transactions and their impact on stockholder value and the process by which the Company engages in evaluation of strategic transactions; and (29) other risk factors included from time to time in documents U.S. Energy files with the Securities and Exchange Commission, including, but not limited to, its Form 10-Ks, Form 10-Qs and Form 8-Ks. Other important factors that may cause actual results and outcomes to differ materially from those contained in the forward-looking statements included in this communication are described in the Company’s publicly filed reports, including, but not limited to, the Company’s Annual Report on Form 10-K for the year ended December 31, 2025 and Quarterly Report on Form 10-Q for the quarter ended March 31, 2026 , and future annual reports and quarterly reports. These reports and filings are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Unknown or unpredictable factors also could have material adverse effects on the Company’s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natural gas sales receivables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 under full cost method and industrial gas properties: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Proved oil and natural gas properties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(117,619)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(117,237)</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oil and natural gas properties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15,222</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industrial gas properties, not subject to amortization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22,479</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40,630</w:t>
            </w:r>
          </w:p>
        </w:tc>
      </w:tr>
      <w:tr>
        <w:trPr>
          <w:trHeight w:val="196"/>
        </w:trPr>
        <w:tc>
          <w:tcPr>
            <w:tcW w:w="80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lease obligation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6,023</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 net of current portion</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10,412</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16,435</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245,000,000 shares authorized; 52,320,429 and 34,405,143 shares issued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235,762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(215,097)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(211,912)</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40,630</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00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THREE MONTHS ENDED AND 2025</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and liquids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expense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(3,185)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(3,111)</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40,065,555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32,724,922</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556"/>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U.S. ENERGY CORP. AND SUBSIDIARIES UNAUDITED CONDENSED CONSOLIDATED STATEMENTS OF CASH FLOWS FOR THE THREE MONTHS ENDED MARCH 31, 2026 AND 2025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 and natural gas sales receivable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(2,580)</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operating assets and liabilities, net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industrial gas properties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gas capital expenditures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and natural gas capital expenditures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expenditures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withheld to settle tax withholding obligations for restricted stock awards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share repurchase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underwritten offering</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committed equity facility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9,745</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equivalents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equivalents, beginning of period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equivalents, end of period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10,502</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574"/>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results calculated under generally accepted accounting principles in the United States (“GAAP”), in this earnings release we also present Adjusted EBITDA. Adjusted EBITDA is a “non-GAAP financial measure” presented as supplemental measures of the Company’s performance. It is not presented in accordance with accounting principles generally accepted in the United States, or GAAP. The Company defines Adjusted EBITDA as net income (loss), plus net interest expense, net unrealized loss (gain) on change in fair value of derivatives, income tax (benefit) expense, deferred income taxes, depreciation, depletion, accretion and amortization, one-time costs associated with completed transactions and the associated assumed derivative contracts, non-cash share-based compensation, transaction related expenses, transaction related acquired realized derivative loss (gain), and loss (gain) on marketable securities. Company management believes this presentation is relevant and useful because it helps investors understand U.S. Energy’s operating performance and makes it easier to compare its results with those of other companies that have different financing, capital and tax structures. Adjusted EBITDA is presented because we believe it provides additional useful information to investors due to the various noncash items during the period. Adjusted EBITDA has limitations as an analytical tool, and you should not consider it in isolation, or as a substitute for analysis of our operating results as reported under GAAP. Some of these limitations are: Adjusted EBITDA does not reflect cash expenditures, or future requirements for capital expenditures, or contractual commitments; Adjusted EBITDA does not reflect changes in, or cash requirements for, working capital needs; Adjusted EBITDA does not reflect the significant interest expense, or the cash requirements necessary to service interest or principal payments, on debt or cash income tax payments; although depreciation and amortization are noncash charges, the assets being depreciated and amortized will often have to be replaced in the future, and Adjusted EBITDA does not reflect any cash requirements for such replacements; and other companies in this industry may calculate Adjusted EBITDA differently than the Company does, limiting its usefulness as a comparative measure.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presentation of this measure should not be construed as an inference that future results will be unaffected by unusual or nonrecurring items. We compensate for these limitations by providing a reconciliation of this non-GAAP measure to the most comparable GAAP measure, below. We encourage investors and others to review our business, results of operations, and financial information in their entirety, not to rely on any single financial measure, and to view this non-GAAP measure in conjunction with the most directly comparable GAAP financial measure.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2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189"/>
        </w:trPr>
        <w:tc>
          <w:tcPr>
            <w:tcW w:w="80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(3,185)</w:t>
            </w:r>
          </w:p>
        </w:tc>
        <w:tc>
          <w:tcPr>
            <w:tcW w:w="4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25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sale of assets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marketable securities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(2,139</w:t>
            </w: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(1,498</w:t>
            </w:r>
            <w:r>
              <w:rPr>
                <w:rFonts w:ascii="Times New Roman" w:cs="Times New Roman" w:eastAsia="Times New Roman" w:hAnsi="Times New Roman"/>
                <w:sz w:val="18"/>
                <w:szCs w:val="18"/>
                <w:color w:val="auto"/>
              </w:rPr>
              <w:t>)</w:t>
            </w: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decimal"/>
      <w:start w:val="303"/>
    </w:lvl>
  </w:abstractNum>
  <w:abstractNum w:abstractNumId="4">
    <w:nsid w:val="3D1B58BA"/>
    <w:multiLevelType w:val="hybridMultilevel"/>
    <w:lvl w:ilvl="0">
      <w:lvlJc w:val="left"/>
      <w:lvlText w:val="(%1)"/>
      <w:numFmt w:val="decimal"/>
      <w:start w:val="14"/>
    </w:lvl>
  </w:abstractNum>
  <w:abstractNum w:abstractNumId="5">
    <w:nsid w:val="507ED7AB"/>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2026-05-07T06:13:43Z</dcterms:created>
  <dcterms:modified xsi:type="dcterms:W3CDTF">2026-05-07T06:13:43Z</dcterms:modified>
</cp:coreProperties>
</file>