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rFonts w:ascii="Times New Roman;Times;serif" w:hAnsi="Times New Roman;Times;serif"/>
          <w:sz w:val="20"/>
        </w:rPr>
      </w:pPr>
      <w:bookmarkStart w:id="0" w:name="useg20260508_8k.htm"/>
      <w:bookmarkStart w:id="1" w:name="ksuseg20260508_8k"/>
      <w:bookmarkEnd w:id="0"/>
      <w:bookmarkEnd w:id="1"/>
      <w:r>
        <w:rPr>
          <w:rFonts w:ascii="Times New Roman;Times;serif" w:hAnsi="Times New Roman;Times;serif"/>
          <w:sz w:val="20"/>
        </w:rPr>
        <w:t>US ENERGY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May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U.S. ENERGY CORP.</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3680"/>
        <w:gridCol w:w="2195"/>
        <w:gridCol w:w="2750"/>
      </w:tblGrid>
      <w:tr>
        <w:trPr/>
        <w:tc>
          <w:tcPr>
            <w:tcW w:w="36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1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000-06814</w:t>
            </w:r>
          </w:p>
        </w:tc>
        <w:tc>
          <w:tcPr>
            <w:tcW w:w="27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83-0205516</w:t>
            </w:r>
          </w:p>
        </w:tc>
      </w:tr>
      <w:tr>
        <w:trPr/>
        <w:tc>
          <w:tcPr>
            <w:tcW w:w="3680" w:type="dxa"/>
            <w:tcBorders/>
            <w:tcMar>
              <w:bottom w:w="0" w:type="dxa"/>
            </w:tcMar>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(State or other jurisdiction of incorporation)</w:t>
            </w:r>
          </w:p>
        </w:tc>
        <w:tc>
          <w:tcPr>
            <w:tcW w:w="2195" w:type="dxa"/>
            <w:tcBorders/>
            <w:tcMar>
              <w:bottom w:w="0" w:type="dxa"/>
            </w:tcMar>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(Commission File Number)</w:t>
            </w:r>
          </w:p>
        </w:tc>
        <w:tc>
          <w:tcPr>
            <w:tcW w:w="2750" w:type="dxa"/>
            <w:tcBorders/>
            <w:tcMar>
              <w:bottom w:w="0" w:type="dxa"/>
            </w:tcMar>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28" w:type="dxa"/>
          <w:right w:w="0" w:type="dxa"/>
        </w:tblCellMar>
      </w:tblPr>
      <w:tblGrid>
        <w:gridCol w:w="3335"/>
        <w:gridCol w:w="890"/>
      </w:tblGrid>
      <w:tr>
        <w:trPr/>
        <w:tc>
          <w:tcPr>
            <w:tcW w:w="33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1616 S. Voss, Suite 725, Houston, Texas</w:t>
            </w:r>
          </w:p>
        </w:tc>
        <w:tc>
          <w:tcPr>
            <w:tcW w:w="89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77057</w:t>
            </w:r>
          </w:p>
        </w:tc>
      </w:tr>
      <w:tr>
        <w:trPr/>
        <w:tc>
          <w:tcPr>
            <w:tcW w:w="3335" w:type="dxa"/>
            <w:tcBorders/>
            <w:tcMar>
              <w:bottom w:w="0" w:type="dxa"/>
            </w:tcMar>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w:t>
            </w:r>
          </w:p>
        </w:tc>
        <w:tc>
          <w:tcPr>
            <w:tcW w:w="890" w:type="dxa"/>
            <w:tcBorders/>
            <w:tcMar>
              <w:bottom w:w="0" w:type="dxa"/>
            </w:tcMar>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(303) 993-3200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25" w:type="dxa"/>
        <w:jc w:val="left"/>
        <w:tblInd w:w="-7" w:type="dxa"/>
        <w:tblLayout w:type="fixed"/>
        <w:tblCellMar>
          <w:top w:w="28" w:type="dxa"/>
          <w:left w:w="28" w:type="dxa"/>
          <w:bottom w:w="28" w:type="dxa"/>
          <w:right w:w="28" w:type="dxa"/>
        </w:tblCellMar>
      </w:tblPr>
      <w:tblGrid>
        <w:gridCol w:w="2720"/>
        <w:gridCol w:w="1610"/>
        <w:gridCol w:w="4595"/>
      </w:tblGrid>
      <w:tr>
        <w:trPr/>
        <w:tc>
          <w:tcPr>
            <w:tcW w:w="272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45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exchange on which registered</w:t>
            </w:r>
          </w:p>
        </w:tc>
      </w:tr>
      <w:tr>
        <w:trPr/>
        <w:tc>
          <w:tcPr>
            <w:tcW w:w="272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$0.01 par value</w:t>
            </w:r>
          </w:p>
        </w:tc>
        <w:tc>
          <w:tcPr>
            <w:tcW w:w="16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USEG</w:t>
            </w:r>
          </w:p>
        </w:tc>
        <w:tc>
          <w:tcPr>
            <w:tcW w:w="45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NASDAQ Stock Market LLC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May 8, 2026, Randall Keys ceased to serve as a member of the Board of Directors (the “Board”) of U.S. Energy Corp. (the “Company”) upon the expiration of his term at the Company’s 2026 Annual Meeting of Stockholders (the “Meeting”), having previously informed the Company that he would not stand for re-election. Mr. Keys’s decision not to stand for re-election did not result from any disagreement with the Company on any matter relating to the Company’s operations, policies or practices. The Board thanks Mr. Keys for his years of dedicated service and valuable contributions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size of the Board remains unchanged following Mr. Keys’s departure.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8, 2026, the Company held the Meeting. The following four proposals were voted on at the Meeting (as described in greater detail in the Definitive Proxy Statement on Schedule 14A, filed with the Securities and Exchange Commission on April 6, 2026 (the “Proxy Statement”)), with the results of such voting as set forth below. Capitalized terms have the meanings given to such terms in the Proxy Statement and this Form 8-K should be read in connection with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Proposal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director nominees listed below were duly elected to the Board of Directors by a plurality of the votes cast (there was no solicitation in opposition to management’s nominees as listed in the Proxy Statement), each to serve a term of three years and until his respective successor has been elected and qualified:</w:t>
      </w:r>
    </w:p>
    <w:p>
      <w:pPr>
        <w:pStyle w:val="TextBody"/>
        <w:bidi w:val="0"/>
        <w:spacing w:before="0" w:after="0"/>
        <w:ind w:left="0" w:right="0" w:hanging="0"/>
        <w:jc w:val="left"/>
        <w:rPr>
          <w:caps w:val="false"/>
          <w:smallCaps w:val="false"/>
        </w:rPr>
      </w:pPr>
      <w:r>
        <w:rPr>
          <w:caps w:val="false"/>
          <w:smallCaps w:val="false"/>
        </w:rPr>
        <w:t> </w:t>
      </w:r>
    </w:p>
    <w:tbl>
      <w:tblPr>
        <w:tblW w:w="5315" w:type="dxa"/>
        <w:jc w:val="left"/>
        <w:tblInd w:w="-7" w:type="dxa"/>
        <w:tblLayout w:type="fixed"/>
        <w:tblCellMar>
          <w:top w:w="28" w:type="dxa"/>
          <w:left w:w="28" w:type="dxa"/>
          <w:bottom w:w="28" w:type="dxa"/>
          <w:right w:w="28" w:type="dxa"/>
        </w:tblCellMar>
      </w:tblPr>
      <w:tblGrid>
        <w:gridCol w:w="1490"/>
        <w:gridCol w:w="950"/>
        <w:gridCol w:w="1310"/>
        <w:gridCol w:w="1565"/>
      </w:tblGrid>
      <w:tr>
        <w:trPr/>
        <w:tc>
          <w:tcPr>
            <w:tcW w:w="14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Nominee</w:t>
            </w:r>
          </w:p>
        </w:tc>
        <w:tc>
          <w:tcPr>
            <w:tcW w:w="95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Votes For</w:t>
            </w:r>
          </w:p>
        </w:tc>
        <w:tc>
          <w:tcPr>
            <w:tcW w:w="13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Votes Withheld</w:t>
            </w:r>
          </w:p>
        </w:tc>
        <w:tc>
          <w:tcPr>
            <w:tcW w:w="156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r>
      <w:tr>
        <w:trPr/>
        <w:tc>
          <w:tcPr>
            <w:tcW w:w="14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A. Weinzierl</w:t>
            </w:r>
          </w:p>
        </w:tc>
        <w:tc>
          <w:tcPr>
            <w:tcW w:w="9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10,630,629</w:t>
            </w:r>
          </w:p>
        </w:tc>
        <w:tc>
          <w:tcPr>
            <w:tcW w:w="13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156,777</w:t>
            </w:r>
          </w:p>
        </w:tc>
        <w:tc>
          <w:tcPr>
            <w:tcW w:w="15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12,512,976</w:t>
            </w:r>
          </w:p>
        </w:tc>
      </w:tr>
      <w:tr>
        <w:trPr/>
        <w:tc>
          <w:tcPr>
            <w:tcW w:w="14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 Stephen Slack</w:t>
            </w:r>
          </w:p>
        </w:tc>
        <w:tc>
          <w:tcPr>
            <w:tcW w:w="9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10,645,512</w:t>
            </w:r>
          </w:p>
        </w:tc>
        <w:tc>
          <w:tcPr>
            <w:tcW w:w="13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141,894</w:t>
            </w:r>
          </w:p>
        </w:tc>
        <w:tc>
          <w:tcPr>
            <w:tcW w:w="15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12,512,976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Proposal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management proposal to ratify the appointment of Weaver &amp; Tidwell, L.L.P. as the Company’s independent auditor for the fiscal year ending December 31, 2026 was approved.</w:t>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7" w:type="dxa"/>
        <w:tblLayout w:type="fixed"/>
        <w:tblCellMar>
          <w:top w:w="28" w:type="dxa"/>
          <w:left w:w="28" w:type="dxa"/>
          <w:bottom w:w="28" w:type="dxa"/>
          <w:right w:w="28" w:type="dxa"/>
        </w:tblCellMar>
      </w:tblPr>
      <w:tblGrid>
        <w:gridCol w:w="965"/>
        <w:gridCol w:w="1175"/>
        <w:gridCol w:w="995"/>
        <w:gridCol w:w="1565"/>
      </w:tblGrid>
      <w:tr>
        <w:trPr/>
        <w:tc>
          <w:tcPr>
            <w:tcW w:w="9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Votes For</w:t>
            </w:r>
          </w:p>
        </w:tc>
        <w:tc>
          <w:tcPr>
            <w:tcW w:w="11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Votes Against</w:t>
            </w:r>
          </w:p>
        </w:tc>
        <w:tc>
          <w:tcPr>
            <w:tcW w:w="9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Abstentions</w:t>
            </w:r>
          </w:p>
        </w:tc>
        <w:tc>
          <w:tcPr>
            <w:tcW w:w="156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r>
      <w:tr>
        <w:trPr/>
        <w:tc>
          <w:tcPr>
            <w:tcW w:w="9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23,151,640</w:t>
            </w:r>
          </w:p>
        </w:tc>
        <w:tc>
          <w:tcPr>
            <w:tcW w:w="11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100,116</w:t>
            </w:r>
          </w:p>
        </w:tc>
        <w:tc>
          <w:tcPr>
            <w:tcW w:w="9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48,626</w:t>
            </w:r>
          </w:p>
        </w:tc>
        <w:tc>
          <w:tcPr>
            <w:tcW w:w="15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Proposal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management proposal relating to an advisory vote to approve named executive officer compensation was approved.</w:t>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7" w:type="dxa"/>
        <w:tblLayout w:type="fixed"/>
        <w:tblCellMar>
          <w:top w:w="28" w:type="dxa"/>
          <w:left w:w="28" w:type="dxa"/>
          <w:bottom w:w="28" w:type="dxa"/>
          <w:right w:w="28" w:type="dxa"/>
        </w:tblCellMar>
      </w:tblPr>
      <w:tblGrid>
        <w:gridCol w:w="965"/>
        <w:gridCol w:w="1175"/>
        <w:gridCol w:w="995"/>
        <w:gridCol w:w="1565"/>
      </w:tblGrid>
      <w:tr>
        <w:trPr/>
        <w:tc>
          <w:tcPr>
            <w:tcW w:w="9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Votes For</w:t>
            </w:r>
          </w:p>
        </w:tc>
        <w:tc>
          <w:tcPr>
            <w:tcW w:w="11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Votes Against</w:t>
            </w:r>
          </w:p>
        </w:tc>
        <w:tc>
          <w:tcPr>
            <w:tcW w:w="9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Abstentions</w:t>
            </w:r>
          </w:p>
        </w:tc>
        <w:tc>
          <w:tcPr>
            <w:tcW w:w="156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r>
      <w:tr>
        <w:trPr/>
        <w:tc>
          <w:tcPr>
            <w:tcW w:w="9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10,130,670</w:t>
            </w:r>
          </w:p>
        </w:tc>
        <w:tc>
          <w:tcPr>
            <w:tcW w:w="11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569,807</w:t>
            </w:r>
          </w:p>
        </w:tc>
        <w:tc>
          <w:tcPr>
            <w:tcW w:w="9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86,929</w:t>
            </w:r>
          </w:p>
        </w:tc>
        <w:tc>
          <w:tcPr>
            <w:tcW w:w="15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12,512,976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Proposal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management proposal to approve for purposes of complying with Section 5635(d) of the Listing Rules (the “</w:t>
      </w:r>
      <w:r>
        <w:rPr>
          <w:rFonts w:ascii="Times New Roman" w:hAnsi="Times New Roman"/>
          <w:caps w:val="false"/>
          <w:smallCaps w:val="false"/>
          <w:sz w:val="20"/>
          <w:u w:val="single"/>
        </w:rPr>
        <w:t>Nasdaq Listing Rules</w:t>
      </w:r>
      <w:r>
        <w:rPr>
          <w:rFonts w:ascii="Times New Roman" w:hAnsi="Times New Roman"/>
          <w:caps w:val="false"/>
          <w:smallCaps w:val="false"/>
          <w:sz w:val="20"/>
        </w:rPr>
        <w:t>”) of the Nasdaq Stock Market LLC, the issuance of shares of the Company's common stock, par value $0.01 per share ("Common Stock"), to Roth Principal Investments, LLC ("Roth Principal Investments") pursuant to the terms of that certain Common Stock Purchase Agreement, dated as of October 9, 2025 (the "</w:t>
      </w:r>
      <w:r>
        <w:rPr>
          <w:rFonts w:ascii="Times New Roman" w:hAnsi="Times New Roman"/>
          <w:caps w:val="false"/>
          <w:smallCaps w:val="false"/>
          <w:sz w:val="20"/>
          <w:u w:val="single"/>
        </w:rPr>
        <w:t>Common Stock Purchase Agreement</w:t>
      </w:r>
      <w:r>
        <w:rPr>
          <w:rFonts w:ascii="Times New Roman" w:hAnsi="Times New Roman"/>
          <w:caps w:val="false"/>
          <w:smallCaps w:val="false"/>
          <w:sz w:val="20"/>
        </w:rPr>
        <w:t>"), between the Company and Roth Principal Investments, in an amount that equals or exceeds 20% of the total shares of the Company's Common Stock outstanding immediately prior to the entry into the Common Stock Purchase Agreement (the "</w:t>
      </w:r>
      <w:r>
        <w:rPr>
          <w:rFonts w:ascii="Times New Roman" w:hAnsi="Times New Roman"/>
          <w:caps w:val="false"/>
          <w:smallCaps w:val="false"/>
          <w:sz w:val="20"/>
          <w:u w:val="single"/>
        </w:rPr>
        <w:t>Nasdaq 20% Cap Removal Proposal</w:t>
      </w:r>
      <w:r>
        <w:rPr>
          <w:rFonts w:ascii="Times New Roman" w:hAnsi="Times New Roman"/>
          <w:caps w:val="false"/>
          <w:smallCaps w:val="false"/>
          <w:sz w:val="20"/>
        </w:rPr>
        <w:t>"), was approved.</w:t>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7" w:type="dxa"/>
        <w:tblLayout w:type="fixed"/>
        <w:tblCellMar>
          <w:top w:w="28" w:type="dxa"/>
          <w:left w:w="28" w:type="dxa"/>
          <w:bottom w:w="28" w:type="dxa"/>
          <w:right w:w="28" w:type="dxa"/>
        </w:tblCellMar>
      </w:tblPr>
      <w:tblGrid>
        <w:gridCol w:w="965"/>
        <w:gridCol w:w="1175"/>
        <w:gridCol w:w="995"/>
        <w:gridCol w:w="1565"/>
      </w:tblGrid>
      <w:tr>
        <w:trPr/>
        <w:tc>
          <w:tcPr>
            <w:tcW w:w="9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Votes For</w:t>
            </w:r>
          </w:p>
        </w:tc>
        <w:tc>
          <w:tcPr>
            <w:tcW w:w="11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Votes Against</w:t>
            </w:r>
          </w:p>
        </w:tc>
        <w:tc>
          <w:tcPr>
            <w:tcW w:w="9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Abstentions</w:t>
            </w:r>
          </w:p>
        </w:tc>
        <w:tc>
          <w:tcPr>
            <w:tcW w:w="156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r>
      <w:tr>
        <w:trPr/>
        <w:tc>
          <w:tcPr>
            <w:tcW w:w="9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10,207,459</w:t>
            </w:r>
          </w:p>
        </w:tc>
        <w:tc>
          <w:tcPr>
            <w:tcW w:w="11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557,104</w:t>
            </w:r>
          </w:p>
        </w:tc>
        <w:tc>
          <w:tcPr>
            <w:tcW w:w="9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22,843</w:t>
            </w:r>
          </w:p>
        </w:tc>
        <w:tc>
          <w:tcPr>
            <w:tcW w:w="15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12,512,976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450" w:type="dxa"/>
        <w:jc w:val="left"/>
        <w:tblInd w:w="0" w:type="dxa"/>
        <w:tblLayout w:type="fixed"/>
        <w:tblCellMar>
          <w:top w:w="0" w:type="dxa"/>
          <w:left w:w="0" w:type="dxa"/>
          <w:bottom w:w="0" w:type="dxa"/>
          <w:right w:w="0" w:type="dxa"/>
        </w:tblCellMar>
      </w:tblPr>
      <w:tblGrid>
        <w:gridCol w:w="75"/>
        <w:gridCol w:w="2375"/>
      </w:tblGrid>
      <w:tr>
        <w:trPr/>
        <w:tc>
          <w:tcPr>
            <w:tcW w:w="7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ENERGY CORP.</w:t>
            </w:r>
          </w:p>
        </w:tc>
      </w:tr>
      <w:tr>
        <w:trPr/>
        <w:tc>
          <w:tcPr>
            <w:tcW w:w="7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By: </w:t>
            </w:r>
            <w:r>
              <w:rPr>
                <w:rFonts w:ascii="Times New Roman;Times;serif" w:hAnsi="Times New Roman;Times;serif"/>
                <w:i/>
                <w:caps w:val="false"/>
                <w:smallCaps w:val="false"/>
                <w:sz w:val="20"/>
              </w:rPr>
              <w:t>/s/ Ryan Smith</w:t>
            </w:r>
          </w:p>
        </w:tc>
      </w:tr>
      <w:tr>
        <w:trPr/>
        <w:tc>
          <w:tcPr>
            <w:tcW w:w="7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Ryan Smith</w:t>
            </w:r>
          </w:p>
        </w:tc>
      </w:tr>
      <w:tr>
        <w:trPr/>
        <w:tc>
          <w:tcPr>
            <w:tcW w:w="7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Chief Executive Officer</w:t>
            </w:r>
          </w:p>
        </w:tc>
      </w:tr>
      <w:tr>
        <w:trPr/>
        <w:tc>
          <w:tcPr>
            <w:tcW w:w="7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Dated: May 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839</Words>
  <Characters>4574</Characters>
  <CharactersWithSpaces>5387</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